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January, 2023</w:t>
      </w:r>
    </w:p>
    <w:p w:rsidR="00000000" w:rsidDel="00000000" w:rsidP="00000000" w:rsidRDefault="00000000" w:rsidRPr="00000000" w14:paraId="00000002">
      <w:pPr>
        <w:pageBreakBefore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3">
      <w:pPr>
        <w:pageBreakBefore w:val="0"/>
        <w:spacing w:line="264"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Dear Parent/Guardian of Incoming Kindergarten Students for the 2023-2024 School Year:</w:t>
      </w:r>
    </w:p>
    <w:p w:rsidR="00000000" w:rsidDel="00000000" w:rsidP="00000000" w:rsidRDefault="00000000" w:rsidRPr="00000000" w14:paraId="00000004">
      <w:pPr>
        <w:pageBreakBefore w:val="0"/>
        <w:spacing w:line="264"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5">
      <w:pPr>
        <w:pageBreakBefore w:val="0"/>
        <w:spacing w:line="264"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welcome you and your child to the Darien Public School System. Below please find important information on health documents required for your child to be enrolled.</w:t>
      </w:r>
    </w:p>
    <w:p w:rsidR="00000000" w:rsidDel="00000000" w:rsidP="00000000" w:rsidRDefault="00000000" w:rsidRPr="00000000" w14:paraId="00000006">
      <w:pPr>
        <w:pageBreakBefore w:val="0"/>
        <w:spacing w:line="264"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7">
      <w:pPr>
        <w:pageBreakBefore w:val="0"/>
        <w:spacing w:line="264"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Health Assessment Record: A</w:t>
      </w:r>
      <w:r w:rsidDel="00000000" w:rsidR="00000000" w:rsidRPr="00000000">
        <w:rPr>
          <w:rFonts w:ascii="Century Gothic" w:cs="Century Gothic" w:eastAsia="Century Gothic" w:hAnsi="Century Gothic"/>
          <w:sz w:val="20"/>
          <w:szCs w:val="20"/>
          <w:rtl w:val="0"/>
        </w:rPr>
        <w:t xml:space="preserve">ll students enrolling in Kindergarten must have a physical examination before they may enter school</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per Connec</w:t>
      </w:r>
      <w:r w:rsidDel="00000000" w:rsidR="00000000" w:rsidRPr="00000000">
        <w:rPr>
          <w:rFonts w:ascii="Century Gothic" w:cs="Century Gothic" w:eastAsia="Century Gothic" w:hAnsi="Century Gothic"/>
          <w:sz w:val="20"/>
          <w:szCs w:val="20"/>
          <w:rtl w:val="0"/>
        </w:rPr>
        <w:t xml:space="preserve">ticut Law (P.A. 94-103, Section 10-206) The physical examination must be documented on the </w:t>
      </w:r>
      <w:hyperlink r:id="rId6">
        <w:r w:rsidDel="00000000" w:rsidR="00000000" w:rsidRPr="00000000">
          <w:rPr>
            <w:rFonts w:ascii="Century Gothic" w:cs="Century Gothic" w:eastAsia="Century Gothic" w:hAnsi="Century Gothic"/>
            <w:b w:val="1"/>
            <w:color w:val="1155cc"/>
            <w:sz w:val="20"/>
            <w:szCs w:val="20"/>
            <w:u w:val="single"/>
            <w:rtl w:val="0"/>
          </w:rPr>
          <w:t xml:space="preserve">State of CT Department of Education Health Assessment Record form (HAR-3)</w:t>
        </w:r>
      </w:hyperlink>
      <w:r w:rsidDel="00000000" w:rsidR="00000000" w:rsidRPr="00000000">
        <w:rPr>
          <w:rFonts w:ascii="Century Gothic" w:cs="Century Gothic" w:eastAsia="Century Gothic" w:hAnsi="Century Gothic"/>
          <w:sz w:val="20"/>
          <w:szCs w:val="20"/>
          <w:rtl w:val="0"/>
        </w:rPr>
        <w:t xml:space="preserve">, also known as the “blue form” or its equivalent, and must include an up-to-date immunizations record* per State of Connecticut Guidelines </w:t>
      </w:r>
      <w:hyperlink r:id="rId7">
        <w:r w:rsidDel="00000000" w:rsidR="00000000" w:rsidRPr="00000000">
          <w:rPr>
            <w:rFonts w:ascii="Century Gothic" w:cs="Century Gothic" w:eastAsia="Century Gothic" w:hAnsi="Century Gothic"/>
            <w:b w:val="1"/>
            <w:color w:val="1155cc"/>
            <w:sz w:val="20"/>
            <w:szCs w:val="20"/>
            <w:u w:val="single"/>
            <w:rtl w:val="0"/>
          </w:rPr>
          <w:t xml:space="preserve">State of CT Immunization Requirements</w:t>
        </w:r>
      </w:hyperlink>
      <w:r w:rsidDel="00000000" w:rsidR="00000000" w:rsidRPr="00000000">
        <w:rPr>
          <w:rFonts w:ascii="Century Gothic" w:cs="Century Gothic" w:eastAsia="Century Gothic" w:hAnsi="Century Gothic"/>
          <w:sz w:val="20"/>
          <w:szCs w:val="20"/>
          <w:rtl w:val="0"/>
        </w:rPr>
        <w:t xml:space="preserve">.  Please be sure to have Part 1 (health history) completed and signed by the parent/guardian. A physical examination performed outside the United States is only accepted if done by a health care provider licensed to practice medicine in the United States.</w:t>
      </w:r>
      <w:r w:rsidDel="00000000" w:rsidR="00000000" w:rsidRPr="00000000">
        <w:rPr>
          <w:rtl w:val="0"/>
        </w:rPr>
      </w:r>
    </w:p>
    <w:p w:rsidR="00000000" w:rsidDel="00000000" w:rsidP="00000000" w:rsidRDefault="00000000" w:rsidRPr="00000000" w14:paraId="00000008">
      <w:pPr>
        <w:pageBreakBefore w:val="0"/>
        <w:spacing w:line="264"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9">
      <w:pPr>
        <w:pageBreakBefore w:val="0"/>
        <w:spacing w:line="264"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The Kindergarten physical examination must be </w:t>
      </w:r>
      <w:r w:rsidDel="00000000" w:rsidR="00000000" w:rsidRPr="00000000">
        <w:rPr>
          <w:rFonts w:ascii="Century Gothic" w:cs="Century Gothic" w:eastAsia="Century Gothic" w:hAnsi="Century Gothic"/>
          <w:b w:val="1"/>
          <w:i w:val="1"/>
          <w:sz w:val="20"/>
          <w:szCs w:val="20"/>
          <w:rtl w:val="0"/>
        </w:rPr>
        <w:t xml:space="preserve">dated </w:t>
      </w:r>
      <w:r w:rsidDel="00000000" w:rsidR="00000000" w:rsidRPr="00000000">
        <w:rPr>
          <w:rFonts w:ascii="Century Gothic" w:cs="Century Gothic" w:eastAsia="Century Gothic" w:hAnsi="Century Gothic"/>
          <w:b w:val="1"/>
          <w:i w:val="1"/>
          <w:sz w:val="20"/>
          <w:szCs w:val="20"/>
          <w:u w:val="single"/>
          <w:rtl w:val="0"/>
        </w:rPr>
        <w:t xml:space="preserve">no earlier</w:t>
      </w:r>
      <w:r w:rsidDel="00000000" w:rsidR="00000000" w:rsidRPr="00000000">
        <w:rPr>
          <w:rFonts w:ascii="Century Gothic" w:cs="Century Gothic" w:eastAsia="Century Gothic" w:hAnsi="Century Gothic"/>
          <w:b w:val="1"/>
          <w:i w:val="1"/>
          <w:sz w:val="20"/>
          <w:szCs w:val="20"/>
          <w:rtl w:val="0"/>
        </w:rPr>
        <w:t xml:space="preserve"> than 365 days prior to the first day of school for the 2023-24 school year (on or after August 28, 2022).</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sz w:val="20"/>
          <w:szCs w:val="20"/>
          <w:rtl w:val="0"/>
        </w:rPr>
        <w:t xml:space="preserve">If, at the time of online registration, you do not have a current HAR, you will have the option to click “N” and submit forms at a later date. In doing this, your child will be pre-registered, with</w:t>
      </w:r>
      <w:r w:rsidDel="00000000" w:rsidR="00000000" w:rsidRPr="00000000">
        <w:rPr>
          <w:rFonts w:ascii="Century Gothic" w:cs="Century Gothic" w:eastAsia="Century Gothic" w:hAnsi="Century Gothic"/>
          <w:sz w:val="20"/>
          <w:szCs w:val="20"/>
          <w:rtl w:val="0"/>
        </w:rPr>
        <w:t xml:space="preserve"> their enrollment pending until a current and complete HAR form is provided directly to your school nurse for review.  Please do not upload outdated or incomplete health documents during the online registration process. </w:t>
      </w:r>
    </w:p>
    <w:p w:rsidR="00000000" w:rsidDel="00000000" w:rsidP="00000000" w:rsidRDefault="00000000" w:rsidRPr="00000000" w14:paraId="0000000A">
      <w:pPr>
        <w:pageBreakBefore w:val="0"/>
        <w:spacing w:line="264"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B">
      <w:pPr>
        <w:pageBreakBefore w:val="0"/>
        <w:spacing w:line="264"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It is recommended that your practitioner assess your child for risk of exposure to Tuberculosis. If your child is considered to be at high risk, a Tuberculosis Skin Test is required with the health examination. Students originally from high Tuberculosis burden countries entering Connecticut schools for the first time, must receive a Tuberculosis Skin Test. For a complete list of high burden countries, please visit </w:t>
      </w:r>
      <w:hyperlink r:id="rId8">
        <w:r w:rsidDel="00000000" w:rsidR="00000000" w:rsidRPr="00000000">
          <w:rPr>
            <w:rFonts w:ascii="Century Gothic" w:cs="Century Gothic" w:eastAsia="Century Gothic" w:hAnsi="Century Gothic"/>
            <w:color w:val="1155cc"/>
            <w:sz w:val="20"/>
            <w:szCs w:val="20"/>
            <w:u w:val="single"/>
            <w:rtl w:val="0"/>
          </w:rPr>
          <w:t xml:space="preserve">http://www.stoptb.org/countries/tbdata.asp</w:t>
        </w:r>
      </w:hyperlink>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0C">
      <w:pPr>
        <w:pageBreakBefore w:val="0"/>
        <w:spacing w:line="264"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D">
      <w:pPr>
        <w:pageBreakBefore w:val="0"/>
        <w:spacing w:line="264"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your child has any life-threatening food allergies, chronic illness, or other health challenge requiring nursing care or medication at school, please contact the school nurse at your child’s school as soon as possible. The nurses can guide you through any paperwork and school procedures necessary to prepare for your child’s safe entry into the Darien Public Schools. </w:t>
      </w:r>
    </w:p>
    <w:p w:rsidR="00000000" w:rsidDel="00000000" w:rsidP="00000000" w:rsidRDefault="00000000" w:rsidRPr="00000000" w14:paraId="0000000E">
      <w:pPr>
        <w:pageBreakBefore w:val="0"/>
        <w:spacing w:line="264"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F">
      <w:pPr>
        <w:pageBreakBefore w:val="0"/>
        <w:spacing w:line="264"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note, your child will not be admitted into Darien Public Schools until a Darien Public School Nurse has reviewed the new entrant’s completed health assessment and immunization records and has determined they are in compliance with Connecticut and Darien Board of Education regulations. Any questions on the above should be directed to the school nurse where your child is attending school, as listed below. </w:t>
      </w:r>
    </w:p>
    <w:p w:rsidR="00000000" w:rsidDel="00000000" w:rsidP="00000000" w:rsidRDefault="00000000" w:rsidRPr="00000000" w14:paraId="00000010">
      <w:pPr>
        <w:pageBreakBefore w:val="0"/>
        <w:spacing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1">
      <w:pPr>
        <w:pageBreakBefore w:val="0"/>
        <w:spacing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Sincerely,</w:t>
      </w:r>
    </w:p>
    <w:p w:rsidR="00000000" w:rsidDel="00000000" w:rsidP="00000000" w:rsidRDefault="00000000" w:rsidRPr="00000000" w14:paraId="00000012">
      <w:pPr>
        <w:pageBreakBefore w:val="0"/>
        <w:spacing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3">
      <w:pPr>
        <w:pageBreakBefore w:val="0"/>
        <w:spacing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Emily Merritt, FNP, MSN, RN</w:t>
      </w:r>
    </w:p>
    <w:p w:rsidR="00000000" w:rsidDel="00000000" w:rsidP="00000000" w:rsidRDefault="00000000" w:rsidRPr="00000000" w14:paraId="00000014">
      <w:pPr>
        <w:pageBreakBefore w:val="0"/>
        <w:spacing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Director of Nursing Services</w:t>
      </w:r>
    </w:p>
    <w:p w:rsidR="00000000" w:rsidDel="00000000" w:rsidP="00000000" w:rsidRDefault="00000000" w:rsidRPr="00000000" w14:paraId="00000015">
      <w:pPr>
        <w:pageBreakBefore w:val="0"/>
        <w:spacing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230.655.3981 ext. 2304</w:t>
      </w:r>
    </w:p>
    <w:p w:rsidR="00000000" w:rsidDel="00000000" w:rsidP="00000000" w:rsidRDefault="00000000" w:rsidRPr="00000000" w14:paraId="00000016">
      <w:pPr>
        <w:pageBreakBefore w:val="0"/>
        <w:spacing w:line="240" w:lineRule="auto"/>
        <w:jc w:val="both"/>
        <w:rPr>
          <w:rFonts w:ascii="Century Gothic" w:cs="Century Gothic" w:eastAsia="Century Gothic" w:hAnsi="Century Gothic"/>
          <w:sz w:val="20"/>
          <w:szCs w:val="20"/>
        </w:rPr>
      </w:pPr>
      <w:hyperlink r:id="rId9">
        <w:r w:rsidDel="00000000" w:rsidR="00000000" w:rsidRPr="00000000">
          <w:rPr>
            <w:rFonts w:ascii="Century Gothic" w:cs="Century Gothic" w:eastAsia="Century Gothic" w:hAnsi="Century Gothic"/>
            <w:color w:val="1155cc"/>
            <w:sz w:val="20"/>
            <w:szCs w:val="20"/>
            <w:u w:val="single"/>
            <w:rtl w:val="0"/>
          </w:rPr>
          <w:t xml:space="preserve">emerritt@darienps.org</w:t>
        </w:r>
      </w:hyperlink>
      <w:r w:rsidDel="00000000" w:rsidR="00000000" w:rsidRPr="00000000">
        <w:rPr>
          <w:rtl w:val="0"/>
        </w:rPr>
      </w:r>
    </w:p>
    <w:p w:rsidR="00000000" w:rsidDel="00000000" w:rsidP="00000000" w:rsidRDefault="00000000" w:rsidRPr="00000000" w14:paraId="00000017">
      <w:pPr>
        <w:pageBreakBefore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8">
      <w:pPr>
        <w:pageBreakBefore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9">
      <w:pPr>
        <w:pageBreakBefore w:val="0"/>
        <w:ind w:left="0" w:firstLine="0"/>
        <w:jc w:val="both"/>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Hindley School</w:t>
        <w:tab/>
        <w:tab/>
        <w:t xml:space="preserve">Holmes School</w:t>
        <w:tab/>
        <w:tab/>
        <w:t xml:space="preserve">Ox Ridge School</w:t>
        <w:tab/>
        <w:t xml:space="preserve">Royle School</w:t>
        <w:tab/>
        <w:tab/>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b w:val="1"/>
          <w:sz w:val="20"/>
          <w:szCs w:val="20"/>
          <w:u w:val="single"/>
          <w:rtl w:val="0"/>
        </w:rPr>
        <w:t xml:space="preserve">Tokeneke School</w:t>
      </w:r>
    </w:p>
    <w:p w:rsidR="00000000" w:rsidDel="00000000" w:rsidP="00000000" w:rsidRDefault="00000000" w:rsidRPr="00000000" w14:paraId="0000001A">
      <w:pPr>
        <w:pageBreakBefore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Lisa Grant, RN</w:t>
        <w:tab/>
        <w:tab/>
        <w:t xml:space="preserve">Stacy Aloi, RN</w:t>
        <w:tab/>
        <w:tab/>
        <w:t xml:space="preserve">Yvonne Dempsey, RN</w:t>
        <w:tab/>
        <w:t xml:space="preserve">Robin Boccanfuso, RN</w:t>
        <w:tab/>
        <w:t xml:space="preserve">  Kim Martini, RN</w:t>
      </w:r>
    </w:p>
    <w:p w:rsidR="00000000" w:rsidDel="00000000" w:rsidP="00000000" w:rsidRDefault="00000000" w:rsidRPr="00000000" w14:paraId="0000001B">
      <w:pPr>
        <w:pageBreakBefore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203.655.1323 x 4203</w:t>
        <w:tab/>
        <w:t xml:space="preserve">203.353.4371 x 4403</w:t>
        <w:tab/>
        <w:t xml:space="preserve">Donna Asaro, RN</w:t>
        <w:tab/>
        <w:t xml:space="preserve">203.655.0044 x4803 </w:t>
        <w:tab/>
        <w:t xml:space="preserve">  203.655.9666 x4103</w:t>
      </w:r>
    </w:p>
    <w:p w:rsidR="00000000" w:rsidDel="00000000" w:rsidP="00000000" w:rsidRDefault="00000000" w:rsidRPr="00000000" w14:paraId="0000001C">
      <w:pPr>
        <w:pageBreakBefore w:val="0"/>
        <w:ind w:left="3600" w:firstLine="72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203.820.8834 x4602</w:t>
      </w:r>
    </w:p>
    <w:sectPr>
      <w:headerReference r:id="rId10"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jc w:val="center"/>
      <w:rPr/>
    </w:pPr>
    <w:r w:rsidDel="00000000" w:rsidR="00000000" w:rsidRPr="00000000">
      <w:rPr>
        <w:rtl w:val="0"/>
      </w:rPr>
    </w:r>
  </w:p>
  <w:p w:rsidR="00000000" w:rsidDel="00000000" w:rsidP="00000000" w:rsidRDefault="00000000" w:rsidRPr="00000000" w14:paraId="0000001E">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1F">
    <w:pPr>
      <w:pageBreakBefore w:val="0"/>
      <w:jc w:val="center"/>
      <w:rPr>
        <w:rFonts w:ascii="Georgia" w:cs="Georgia" w:eastAsia="Georgia" w:hAnsi="Georgia"/>
        <w:b w:val="1"/>
      </w:rPr>
    </w:pPr>
    <w:r w:rsidDel="00000000" w:rsidR="00000000" w:rsidRPr="00000000">
      <w:rPr>
        <w:rFonts w:ascii="Georgia" w:cs="Georgia" w:eastAsia="Georgia" w:hAnsi="Georgia"/>
        <w:b w:val="1"/>
        <w:rtl w:val="0"/>
      </w:rPr>
      <w:t xml:space="preserve">Darien Public Schools</w:t>
    </w:r>
  </w:p>
  <w:p w:rsidR="00000000" w:rsidDel="00000000" w:rsidP="00000000" w:rsidRDefault="00000000" w:rsidRPr="00000000" w14:paraId="00000020">
    <w:pPr>
      <w:pageBreakBefore w:val="0"/>
      <w:jc w:val="center"/>
      <w:rPr/>
    </w:pPr>
    <w:r w:rsidDel="00000000" w:rsidR="00000000" w:rsidRPr="00000000">
      <w:rPr>
        <w:rFonts w:ascii="Georgia" w:cs="Georgia" w:eastAsia="Georgia" w:hAnsi="Georgia"/>
        <w:b w:val="1"/>
        <w:rtl w:val="0"/>
      </w:rPr>
      <w:t xml:space="preserve">Department of Nursing Services</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emerritt@darienps.org" TargetMode="External"/><Relationship Id="rId5" Type="http://schemas.openxmlformats.org/officeDocument/2006/relationships/styles" Target="styles.xml"/><Relationship Id="rId6" Type="http://schemas.openxmlformats.org/officeDocument/2006/relationships/hyperlink" Target="https://portal.ct.gov/-/media/SDE/School-Nursing/Forms/HAR3.pdf" TargetMode="External"/><Relationship Id="rId7" Type="http://schemas.openxmlformats.org/officeDocument/2006/relationships/hyperlink" Target="https://portal.ct.gov/immunization/-/media/Immunization/Provider-Page/PDFs/School-Nurses/2022-23-School-Requirements-insert.pdf" TargetMode="External"/><Relationship Id="rId8" Type="http://schemas.openxmlformats.org/officeDocument/2006/relationships/hyperlink" Target="https://www.vdh.virginia.gov/content/uploads/sites/175/2022/02/High-Burden-TB-Countries-202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